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仿宋_GB2312" w:eastAsia="仿宋_GB2312" w:cs="仿宋_GB2312"/>
          <w:b/>
          <w:bCs/>
          <w:color w:val="auto"/>
          <w:kern w:val="0"/>
          <w:sz w:val="32"/>
          <w:szCs w:val="32"/>
        </w:rPr>
      </w:pPr>
      <w:r>
        <w:rPr>
          <w:rFonts w:hint="eastAsia" w:ascii="仿宋_GB2312" w:eastAsia="仿宋_GB2312" w:cs="仿宋_GB2312"/>
          <w:b/>
          <w:bCs/>
          <w:color w:val="auto"/>
          <w:kern w:val="0"/>
          <w:sz w:val="32"/>
          <w:szCs w:val="32"/>
        </w:rPr>
        <w:t>第四部分  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color w:val="FF0000"/>
          <w:sz w:val="32"/>
          <w:szCs w:val="32"/>
          <w:lang w:eastAsia="zh-CN"/>
        </w:rPr>
        <w:t>市本级</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市本级</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市本级</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w:t>
      </w:r>
    </w:p>
    <w:p>
      <w:pPr>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（各部门可根据本部门实际情况，参考对口中央部门决算公开内容确定）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E28C4"/>
    <w:rsid w:val="61BF3F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dc:creator>
  <cp:lastModifiedBy>zh</cp:lastModifiedBy>
  <dcterms:modified xsi:type="dcterms:W3CDTF">2017-07-26T11:31:15Z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